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G4BHeader1"/>
        <w:rPr>
          <w:rFonts w:cs="Cambria"/>
          <w:b w:val="0"/>
          <w:bCs/>
          <w:szCs w:val="28"/>
          <w:lang w:bidi="fa-IR"/>
        </w:rPr>
      </w:pPr>
      <w:bookmarkStart w:id="0" w:name="_GoBack"/>
      <w:bookmarkEnd w:id="0"/>
      <w:r>
        <w:rPr>
          <w:rFonts w:cs="B Nazanin" w:hint="cs"/>
          <w:b w:val="0"/>
          <w:bCs/>
          <w:szCs w:val="28"/>
        </w:rPr>
        <w:t xml:space="preserve">راهنمای صدور مجوز </w:t>
      </w:r>
      <w:r>
        <w:rPr>
          <w:rFonts w:cs="Cambria" w:hint="cs"/>
          <w:b w:val="0"/>
          <w:bCs/>
          <w:szCs w:val="28"/>
        </w:rPr>
        <w:t>"</w:t>
      </w:r>
      <w:r>
        <w:rPr>
          <w:rFonts w:cs="B Nazanin" w:hint="cs"/>
          <w:bCs/>
          <w:szCs w:val="28"/>
          <w:lang w:bidi="fa-IR"/>
        </w:rPr>
        <w:t>موافقت اصولی پرورش ماهی در محیط</w:t>
      </w:r>
      <w:r>
        <w:rPr>
          <w:rFonts w:cs="B Mitra" w:hint="cs"/>
          <w:bCs/>
          <w:szCs w:val="28"/>
          <w:lang w:bidi="fa-IR"/>
        </w:rPr>
        <w:t>‌</w:t>
      </w:r>
      <w:r>
        <w:rPr>
          <w:rFonts w:cs="B Nazanin" w:hint="cs"/>
          <w:bCs/>
          <w:szCs w:val="28"/>
          <w:lang w:bidi="fa-IR"/>
        </w:rPr>
        <w:t>های محصور دریایی</w:t>
      </w:r>
      <w:r>
        <w:rPr>
          <w:rFonts w:cs="Cambria" w:hint="cs"/>
          <w:bCs/>
          <w:szCs w:val="28"/>
          <w:lang w:bidi="fa-IR"/>
        </w:rPr>
        <w:t>"</w:t>
      </w:r>
    </w:p>
    <w:tbl>
      <w:tblPr>
        <w:bidiVisual/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>
        <w:tc>
          <w:tcPr>
            <w:tcW w:w="5000" w:type="pct"/>
          </w:tcPr>
          <w:p>
            <w:pPr>
              <w:pStyle w:val="G4BTableBold"/>
              <w:rPr>
                <w:sz w:val="28"/>
                <w:szCs w:val="28"/>
                <w:lang w:bidi="fa-IR"/>
              </w:rPr>
            </w:pPr>
            <w:r>
              <w:rPr>
                <w:sz w:val="28"/>
                <w:szCs w:val="28"/>
              </w:rPr>
              <w:t>عنوان</w:t>
            </w:r>
            <w:r>
              <w:rPr>
                <w:rFonts w:hint="cs"/>
                <w:sz w:val="28"/>
                <w:szCs w:val="28"/>
              </w:rPr>
              <w:t xml:space="preserve"> رسمی و اداری</w:t>
            </w:r>
            <w:r>
              <w:rPr>
                <w:sz w:val="28"/>
                <w:szCs w:val="28"/>
              </w:rPr>
              <w:t xml:space="preserve"> مجوز</w:t>
            </w:r>
            <w:r>
              <w:rPr>
                <w:rFonts w:hint="cs"/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  <w:lang w:bidi="fa-IR"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  <w:lang w:bidi="fa-IR"/>
              </w:rPr>
              <w:t>موافقت اصولی پرورش ماهی در محیط</w:t>
            </w:r>
            <w:r>
              <w:rPr>
                <w:rFonts w:cs="B Mitra" w:hint="cs"/>
                <w:b w:val="0"/>
                <w:bCs w:val="0"/>
                <w:sz w:val="28"/>
                <w:szCs w:val="28"/>
                <w:lang w:bidi="fa-IR"/>
              </w:rPr>
              <w:t>‌</w:t>
            </w:r>
            <w:r>
              <w:rPr>
                <w:rFonts w:hint="cs"/>
                <w:b w:val="0"/>
                <w:bCs w:val="0"/>
                <w:sz w:val="28"/>
                <w:szCs w:val="28"/>
                <w:lang w:bidi="fa-IR"/>
              </w:rPr>
              <w:t>های محصور دریایی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>متولی مجوز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</w:rPr>
              <w:t>وزارت جهاد کشاورزی / سازمان شیلات ایران/ معاونت توسعه آبزی پروری</w:t>
            </w:r>
            <w:r>
              <w:rPr>
                <w:sz w:val="28"/>
                <w:szCs w:val="28"/>
              </w:rPr>
              <w:br/>
            </w:r>
            <w:r>
              <w:rPr>
                <w:rFonts w:hint="cs"/>
                <w:sz w:val="28"/>
                <w:szCs w:val="28"/>
              </w:rPr>
              <w:t xml:space="preserve">مجری صدور: </w:t>
            </w:r>
            <w:r>
              <w:rPr>
                <w:rFonts w:hint="cs"/>
                <w:b w:val="0"/>
                <w:bCs w:val="0"/>
                <w:sz w:val="28"/>
                <w:szCs w:val="28"/>
              </w:rPr>
              <w:t>سازمان نظام مهندسی کشاورزی و منابع طبیعی کشور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tabs>
                <w:tab w:val="right" w:pos="5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شرایط لازم برای  مجوز:</w:t>
            </w:r>
          </w:p>
          <w:p>
            <w:pPr>
              <w:pStyle w:val="G4BTableBold"/>
              <w:numPr>
                <w:ilvl w:val="0"/>
                <w:numId w:val="2"/>
              </w:numPr>
              <w:tabs>
                <w:tab w:val="right" w:pos="511"/>
              </w:tabs>
              <w:jc w:val="both"/>
              <w:rPr>
                <w:b w:val="0"/>
                <w:bCs w:val="0"/>
                <w:color w:val="000000" w:themeColor="text1"/>
                <w:sz w:val="28"/>
                <w:szCs w:val="28"/>
                <w:rtl w:val="0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پذیرش سیاست‌ها، دستورالعمل‌ها و ملاحظات فنی سازمان شیلات ایران (پیوست). (امضای تعهدنامه الکترونیکی)</w:t>
            </w:r>
          </w:p>
          <w:p>
            <w:pPr>
              <w:pStyle w:val="G4BTableBold"/>
              <w:numPr>
                <w:ilvl w:val="0"/>
                <w:numId w:val="2"/>
              </w:numPr>
              <w:tabs>
                <w:tab w:val="right" w:pos="511"/>
              </w:tabs>
              <w:jc w:val="both"/>
              <w:rPr>
                <w:color w:val="70AD47" w:themeColor="accent6"/>
                <w:sz w:val="28"/>
                <w:szCs w:val="28"/>
                <w:rtl w:val="0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انتخاب محل مزرعه در پهنه دریایی مصوب و بندر و سایت پشتیبان ساحلی در مناطق مجاز اعلام شده توسط سازمان شیلات ایران (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>درصورت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softHyphen/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که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متقاض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خواهان ا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جاد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سا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ت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پشت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بان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ساحل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اختصاص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غ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ر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از بنادر اعلام شده ش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لات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باشد، در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افت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مجوزها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مربوطه براساس فعال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</w:rPr>
              <w:t>ت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ساحل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برعهده خود متقاض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ی</w:t>
            </w:r>
            <w:r>
              <w:rPr>
                <w:b w:val="0"/>
                <w:bCs w:val="0"/>
                <w:color w:val="000000" w:themeColor="text1"/>
                <w:sz w:val="28"/>
                <w:szCs w:val="28"/>
              </w:rPr>
              <w:t xml:space="preserve"> خواهد بود.</w:t>
            </w: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)</w:t>
            </w:r>
          </w:p>
          <w:p>
            <w:pPr>
              <w:pStyle w:val="G4BTableBold"/>
              <w:numPr>
                <w:ilvl w:val="0"/>
                <w:numId w:val="2"/>
              </w:numPr>
              <w:tabs>
                <w:tab w:val="right" w:pos="511"/>
              </w:tabs>
              <w:jc w:val="both"/>
              <w:rPr>
                <w:b w:val="0"/>
                <w:bCs w:val="0"/>
                <w:color w:val="70AD47" w:themeColor="accent6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صدور مجوز موافقت اصولی برای اشخاص حقوقی مشروط به رعایت مفاد ماده 8 قانون حفاظت و بهره برداری از منابع آبزی جمهوری ایران خواهد بود. (تصریح پرورش آبزیان در موضوع فعالیت شرکت)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مدارک لازم برای  مجوز</w:t>
            </w:r>
            <w:r>
              <w:rPr>
                <w:sz w:val="28"/>
                <w:szCs w:val="28"/>
                <w:rtl w:val="0"/>
              </w:rPr>
              <w:t>: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</w:rPr>
              <w:t>ندارد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</w:rPr>
              <w:t xml:space="preserve">نشانی درگاه الکترونیکی:  </w:t>
            </w:r>
            <w:r>
              <w:rPr>
                <w:rFonts w:hint="cs"/>
                <w:b w:val="0"/>
                <w:bCs w:val="0"/>
                <w:sz w:val="28"/>
                <w:szCs w:val="28"/>
              </w:rPr>
              <w:t>سامانه سماک</w:t>
            </w:r>
          </w:p>
        </w:tc>
      </w:tr>
      <w:tr>
        <w:tc>
          <w:tcPr>
            <w:tcW w:w="5000" w:type="pct"/>
          </w:tcPr>
          <w:p>
            <w:pPr>
              <w:pStyle w:val="G4BTableNormal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</w:rPr>
              <w:t xml:space="preserve">استعلامات و </w:t>
            </w:r>
            <w:r>
              <w:rPr>
                <w:b/>
                <w:bCs/>
                <w:sz w:val="28"/>
                <w:szCs w:val="28"/>
              </w:rPr>
              <w:t>مجوزهای پیش‌نیا</w:t>
            </w:r>
            <w:r>
              <w:rPr>
                <w:rFonts w:hint="cs"/>
                <w:b/>
                <w:bCs/>
                <w:sz w:val="28"/>
                <w:szCs w:val="28"/>
              </w:rPr>
              <w:t xml:space="preserve">ز: </w:t>
            </w:r>
            <w:r>
              <w:rPr>
                <w:rFonts w:hint="cs"/>
                <w:sz w:val="28"/>
                <w:szCs w:val="28"/>
              </w:rPr>
              <w:t>ندارد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مدت زمان</w:t>
            </w:r>
            <w:r>
              <w:rPr>
                <w:rFonts w:hint="cs"/>
                <w:sz w:val="28"/>
                <w:szCs w:val="28"/>
              </w:rPr>
              <w:t xml:space="preserve"> صدور</w:t>
            </w:r>
            <w:r>
              <w:rPr>
                <w:sz w:val="28"/>
                <w:szCs w:val="28"/>
              </w:rPr>
              <w:t xml:space="preserve"> مجوز</w:t>
            </w:r>
            <w:r>
              <w:rPr>
                <w:rFonts w:hint="cs"/>
                <w:sz w:val="28"/>
                <w:szCs w:val="28"/>
              </w:rPr>
              <w:t xml:space="preserve"> از زمان تکمیل مدارک</w:t>
            </w:r>
            <w:r>
              <w:rPr>
                <w:sz w:val="28"/>
                <w:szCs w:val="28"/>
              </w:rPr>
              <w:t>:</w:t>
            </w:r>
            <w:r>
              <w:rPr>
                <w:rFonts w:hint="cs"/>
                <w:sz w:val="28"/>
                <w:szCs w:val="28"/>
              </w:rPr>
              <w:t xml:space="preserve"> </w:t>
            </w:r>
            <w:r>
              <w:rPr>
                <w:rFonts w:hint="cs"/>
                <w:b w:val="0"/>
                <w:bCs w:val="0"/>
                <w:sz w:val="28"/>
                <w:szCs w:val="28"/>
              </w:rPr>
              <w:t>7 روز کاری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مدت اعتبار مجوز:</w:t>
            </w:r>
          </w:p>
          <w:p>
            <w:pPr>
              <w:pStyle w:val="G4BTableBold"/>
              <w:numPr>
                <w:ilvl w:val="0"/>
                <w:numId w:val="1"/>
              </w:numPr>
              <w:jc w:val="both"/>
              <w:rPr>
                <w:b w:val="0"/>
                <w:bCs w:val="0"/>
                <w:sz w:val="28"/>
                <w:szCs w:val="28"/>
                <w:rtl w:val="0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</w:rPr>
              <w:t xml:space="preserve">6 ماه </w:t>
            </w:r>
          </w:p>
          <w:p>
            <w:pPr>
              <w:pStyle w:val="G4BTableBold"/>
              <w:ind w:left="72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28"/>
                <w:szCs w:val="28"/>
              </w:rPr>
              <w:t>تاریخ اعتبار موافقت اصولی قابل تمدید نبوده و در صورتیکه متقاضی اقدامات پیش بینی شده در مجوز دریافتی را انجام ندهد مجوز باطل خواهد شد و همچنین متقاضی تا یک ماه امکان درخواست مجدد مجوز موافقت اصولی پرورش ماهی در قفس را نخواهد داشت.</w:t>
            </w:r>
          </w:p>
        </w:tc>
      </w:tr>
      <w:tr>
        <w:tc>
          <w:tcPr>
            <w:tcW w:w="5000" w:type="pct"/>
          </w:tcPr>
          <w:p>
            <w:pPr>
              <w:pStyle w:val="G4BTableBold"/>
              <w:rPr>
                <w:b w:val="0"/>
                <w:bCs w:val="0"/>
                <w:sz w:val="24"/>
              </w:rPr>
            </w:pPr>
            <w:r>
              <w:rPr>
                <w:sz w:val="28"/>
                <w:szCs w:val="28"/>
              </w:rPr>
              <w:t>هزینه  مجوز:</w:t>
            </w:r>
          </w:p>
          <w:p>
            <w:pPr>
              <w:pStyle w:val="G4BTableBold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</w:rPr>
              <w:t>مطابق تعرفه سازمان نظام مهندسی کشاورزی و منابع طبیعی</w:t>
            </w:r>
          </w:p>
        </w:tc>
      </w:tr>
    </w:tbl>
    <w:p>
      <w:pPr>
        <w:bidi/>
        <w:spacing w:after="0" w:line="240" w:lineRule="auto"/>
        <w:rPr>
          <w:rFonts w:cs="B Nazanin"/>
          <w:rtl/>
          <w:lang w:bidi="fa-IR"/>
        </w:rPr>
      </w:pPr>
    </w:p>
    <w:p>
      <w:pPr>
        <w:rPr>
          <w:rFonts w:ascii="Times" w:eastAsia="Times" w:hAnsi="Times" w:cs="B Nazanin"/>
          <w:color w:val="000000" w:themeColor="text1"/>
          <w:sz w:val="28"/>
          <w:szCs w:val="28"/>
        </w:rPr>
      </w:pPr>
    </w:p>
    <w:sectPr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rPr>
        <w:noProof/>
        <w:lang w:bidi="fa-IR"/>
      </w:rPr>
      <w:drawing>
        <wp:inline distT="0" distB="0" distL="0" distR="0">
          <wp:extent cx="1429385" cy="12954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1295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A7859"/>
    <w:multiLevelType w:val="hybridMultilevel"/>
    <w:tmpl w:val="17C2B410"/>
    <w:lvl w:ilvl="0" w:tplc="66DA1198">
      <w:numFmt w:val="bullet"/>
      <w:lvlText w:val=""/>
      <w:lvlJc w:val="left"/>
      <w:pPr>
        <w:ind w:left="720" w:hanging="360"/>
      </w:pPr>
      <w:rPr>
        <w:rFonts w:ascii="Symbol" w:eastAsia="Times" w:hAnsi="Symbol" w:cs="B Nazanin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F6F6F"/>
    <w:multiLevelType w:val="hybridMultilevel"/>
    <w:tmpl w:val="A21CA600"/>
    <w:lvl w:ilvl="0" w:tplc="14240810">
      <w:numFmt w:val="bullet"/>
      <w:lvlText w:val="-"/>
      <w:lvlJc w:val="left"/>
      <w:pPr>
        <w:ind w:left="720" w:hanging="360"/>
      </w:pPr>
      <w:rPr>
        <w:rFonts w:ascii="Times" w:eastAsia="Times" w:hAnsi="Time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833E8A5-9C0A-4F2F-BB3D-080307D3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4BHeader1">
    <w:name w:val="G4BHeader1"/>
    <w:pPr>
      <w:bidi/>
      <w:spacing w:after="0" w:line="240" w:lineRule="auto"/>
      <w:jc w:val="center"/>
    </w:pPr>
    <w:rPr>
      <w:rFonts w:ascii="Times" w:eastAsia="Times" w:hAnsi="Times" w:cs="B Titr"/>
      <w:b/>
      <w:sz w:val="28"/>
      <w:szCs w:val="32"/>
      <w:rtl/>
    </w:rPr>
  </w:style>
  <w:style w:type="paragraph" w:customStyle="1" w:styleId="G4BTableNormal">
    <w:name w:val="G4BTableNormal"/>
    <w:pPr>
      <w:bidi/>
      <w:spacing w:after="0" w:line="240" w:lineRule="auto"/>
    </w:pPr>
    <w:rPr>
      <w:rFonts w:ascii="Times" w:eastAsia="Times" w:hAnsi="Times" w:cs="B Nazanin"/>
      <w:szCs w:val="24"/>
      <w:rtl/>
    </w:rPr>
  </w:style>
  <w:style w:type="paragraph" w:customStyle="1" w:styleId="G4BTableBold">
    <w:name w:val="G4BTableBold"/>
    <w:pPr>
      <w:bidi/>
      <w:spacing w:after="0" w:line="240" w:lineRule="auto"/>
    </w:pPr>
    <w:rPr>
      <w:rFonts w:ascii="Times" w:eastAsia="Times" w:hAnsi="Times" w:cs="B Nazanin"/>
      <w:b/>
      <w:bCs/>
      <w:szCs w:val="24"/>
      <w:rtl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Darvish</dc:creator>
  <cp:keywords/>
  <dc:description/>
  <cp:lastModifiedBy>mehrabi</cp:lastModifiedBy>
  <cp:revision>2</cp:revision>
  <dcterms:created xsi:type="dcterms:W3CDTF">2025-02-02T05:53:00Z</dcterms:created>
  <dcterms:modified xsi:type="dcterms:W3CDTF">2025-02-02T05:53:00Z</dcterms:modified>
</cp:coreProperties>
</file>